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008"/>
        <w:gridCol w:w="4514"/>
      </w:tblGrid>
      <w:tr w:rsidR="005F6E92" w:rsidRPr="009A7AEB" w:rsidTr="005F6E92">
        <w:trPr>
          <w:tblCellSpacing w:w="0" w:type="dxa"/>
        </w:trPr>
        <w:tc>
          <w:tcPr>
            <w:tcW w:w="4008" w:type="dxa"/>
            <w:shd w:val="clear" w:color="auto" w:fill="FFFFFF"/>
            <w:tcMar>
              <w:top w:w="0" w:type="dxa"/>
              <w:left w:w="108" w:type="dxa"/>
              <w:bottom w:w="0" w:type="dxa"/>
              <w:right w:w="108" w:type="dxa"/>
            </w:tcMar>
            <w:hideMark/>
          </w:tcPr>
          <w:p w:rsidR="005F6E92" w:rsidRPr="009A7AEB" w:rsidRDefault="005F6E92">
            <w:pPr>
              <w:pStyle w:val="NormalWeb"/>
              <w:spacing w:before="120" w:beforeAutospacing="0" w:after="120" w:afterAutospacing="0" w:line="234" w:lineRule="atLeast"/>
              <w:jc w:val="center"/>
              <w:rPr>
                <w:rFonts w:ascii="Arial" w:hAnsi="Arial" w:cs="Arial"/>
                <w:color w:val="000000"/>
                <w:sz w:val="20"/>
                <w:szCs w:val="20"/>
              </w:rPr>
            </w:pPr>
            <w:bookmarkStart w:id="0" w:name="_GoBack"/>
            <w:bookmarkEnd w:id="0"/>
            <w:r w:rsidRPr="009A7AEB">
              <w:rPr>
                <w:rFonts w:ascii="Arial" w:hAnsi="Arial" w:cs="Arial"/>
                <w:b/>
                <w:bCs/>
                <w:color w:val="000000"/>
                <w:sz w:val="20"/>
                <w:szCs w:val="20"/>
              </w:rPr>
              <w:t>BAN CHẤP HÀNH TRUNG ƯƠNG</w:t>
            </w:r>
            <w:r w:rsidRPr="009A7AEB">
              <w:rPr>
                <w:rFonts w:ascii="Arial" w:hAnsi="Arial" w:cs="Arial"/>
                <w:b/>
                <w:bCs/>
                <w:color w:val="000000"/>
                <w:sz w:val="20"/>
                <w:szCs w:val="20"/>
              </w:rPr>
              <w:br/>
              <w:t>--------</w:t>
            </w:r>
          </w:p>
        </w:tc>
        <w:tc>
          <w:tcPr>
            <w:tcW w:w="4514" w:type="dxa"/>
            <w:shd w:val="clear" w:color="auto" w:fill="FFFFFF"/>
            <w:tcMar>
              <w:top w:w="0" w:type="dxa"/>
              <w:left w:w="108" w:type="dxa"/>
              <w:bottom w:w="0" w:type="dxa"/>
              <w:right w:w="108" w:type="dxa"/>
            </w:tcMar>
            <w:hideMark/>
          </w:tcPr>
          <w:p w:rsidR="005F6E92" w:rsidRPr="009A7AEB" w:rsidRDefault="005F6E92">
            <w:pPr>
              <w:pStyle w:val="NormalWeb"/>
              <w:spacing w:before="120" w:beforeAutospacing="0" w:after="120" w:afterAutospacing="0" w:line="234" w:lineRule="atLeast"/>
              <w:jc w:val="center"/>
              <w:rPr>
                <w:rFonts w:ascii="Arial" w:hAnsi="Arial" w:cs="Arial"/>
                <w:color w:val="000000"/>
                <w:sz w:val="20"/>
                <w:szCs w:val="20"/>
              </w:rPr>
            </w:pPr>
            <w:r w:rsidRPr="009A7AEB">
              <w:rPr>
                <w:rFonts w:ascii="Arial" w:hAnsi="Arial" w:cs="Arial"/>
                <w:b/>
                <w:bCs/>
                <w:color w:val="000000"/>
                <w:sz w:val="20"/>
                <w:szCs w:val="20"/>
              </w:rPr>
              <w:t>ĐẢNG CỘNG SẢN VIỆT NAM</w:t>
            </w:r>
            <w:r w:rsidRPr="009A7AEB">
              <w:rPr>
                <w:rFonts w:ascii="Arial" w:hAnsi="Arial" w:cs="Arial"/>
                <w:b/>
                <w:bCs/>
                <w:color w:val="000000"/>
                <w:sz w:val="20"/>
                <w:szCs w:val="20"/>
              </w:rPr>
              <w:br/>
              <w:t>---------------</w:t>
            </w:r>
          </w:p>
        </w:tc>
      </w:tr>
      <w:tr w:rsidR="005F6E92" w:rsidRPr="009A7AEB" w:rsidTr="005F6E92">
        <w:trPr>
          <w:tblCellSpacing w:w="0" w:type="dxa"/>
        </w:trPr>
        <w:tc>
          <w:tcPr>
            <w:tcW w:w="4008" w:type="dxa"/>
            <w:shd w:val="clear" w:color="auto" w:fill="FFFFFF"/>
            <w:tcMar>
              <w:top w:w="0" w:type="dxa"/>
              <w:left w:w="108" w:type="dxa"/>
              <w:bottom w:w="0" w:type="dxa"/>
              <w:right w:w="108" w:type="dxa"/>
            </w:tcMar>
            <w:hideMark/>
          </w:tcPr>
          <w:p w:rsidR="005F6E92" w:rsidRPr="009A7AEB" w:rsidRDefault="005F6E92">
            <w:pPr>
              <w:pStyle w:val="NormalWeb"/>
              <w:spacing w:before="120" w:beforeAutospacing="0" w:after="120" w:afterAutospacing="0" w:line="234" w:lineRule="atLeast"/>
              <w:jc w:val="center"/>
              <w:rPr>
                <w:rFonts w:ascii="Arial" w:hAnsi="Arial" w:cs="Arial"/>
                <w:color w:val="000000"/>
                <w:sz w:val="20"/>
                <w:szCs w:val="20"/>
              </w:rPr>
            </w:pPr>
            <w:r w:rsidRPr="009A7AEB">
              <w:rPr>
                <w:rFonts w:ascii="Arial" w:hAnsi="Arial" w:cs="Arial"/>
                <w:color w:val="000000"/>
                <w:sz w:val="20"/>
                <w:szCs w:val="20"/>
              </w:rPr>
              <w:t>Số: 28-NQ/TW</w:t>
            </w:r>
          </w:p>
        </w:tc>
        <w:tc>
          <w:tcPr>
            <w:tcW w:w="4514" w:type="dxa"/>
            <w:shd w:val="clear" w:color="auto" w:fill="FFFFFF"/>
            <w:tcMar>
              <w:top w:w="0" w:type="dxa"/>
              <w:left w:w="108" w:type="dxa"/>
              <w:bottom w:w="0" w:type="dxa"/>
              <w:right w:w="108" w:type="dxa"/>
            </w:tcMar>
            <w:hideMark/>
          </w:tcPr>
          <w:p w:rsidR="005F6E92" w:rsidRPr="009A7AEB" w:rsidRDefault="005F6E92">
            <w:pPr>
              <w:pStyle w:val="vn3"/>
              <w:spacing w:before="120" w:beforeAutospacing="0" w:after="120" w:afterAutospacing="0" w:line="234" w:lineRule="atLeast"/>
              <w:jc w:val="right"/>
              <w:rPr>
                <w:rFonts w:ascii="Arial" w:hAnsi="Arial" w:cs="Arial"/>
                <w:color w:val="000000"/>
                <w:sz w:val="20"/>
                <w:szCs w:val="20"/>
              </w:rPr>
            </w:pPr>
            <w:r w:rsidRPr="009A7AEB">
              <w:rPr>
                <w:rFonts w:ascii="Arial" w:hAnsi="Arial" w:cs="Arial"/>
                <w:i/>
                <w:iCs/>
                <w:color w:val="000000"/>
                <w:sz w:val="20"/>
                <w:szCs w:val="20"/>
              </w:rPr>
              <w:t>Hà Nội, ngày 23 tháng 5 năm 2018</w:t>
            </w:r>
          </w:p>
        </w:tc>
      </w:tr>
    </w:tbl>
    <w:p w:rsidR="005F6E92" w:rsidRPr="009A7AEB" w:rsidRDefault="005F6E92" w:rsidP="005F6E92">
      <w:pPr>
        <w:pStyle w:val="NormalWeb"/>
        <w:shd w:val="clear" w:color="auto" w:fill="FFFFFF"/>
        <w:spacing w:before="120" w:beforeAutospacing="0" w:after="120" w:afterAutospacing="0" w:line="234" w:lineRule="atLeast"/>
        <w:rPr>
          <w:rFonts w:ascii="Arial" w:hAnsi="Arial" w:cs="Arial"/>
          <w:color w:val="000000"/>
          <w:sz w:val="20"/>
          <w:szCs w:val="20"/>
        </w:rPr>
      </w:pPr>
      <w:r w:rsidRPr="009A7AEB">
        <w:rPr>
          <w:rFonts w:ascii="Arial" w:hAnsi="Arial" w:cs="Arial"/>
          <w:color w:val="000000"/>
          <w:sz w:val="20"/>
          <w:szCs w:val="20"/>
        </w:rPr>
        <w:t> </w:t>
      </w:r>
    </w:p>
    <w:p w:rsidR="005F6E92" w:rsidRDefault="005F6E92" w:rsidP="005F6E92">
      <w:pPr>
        <w:pStyle w:val="NormalWeb"/>
        <w:shd w:val="clear" w:color="auto" w:fill="FFFFFF"/>
        <w:spacing w:before="0" w:beforeAutospacing="0" w:after="0" w:afterAutospacing="0" w:line="234" w:lineRule="atLeast"/>
        <w:jc w:val="center"/>
        <w:rPr>
          <w:rStyle w:val="vn4"/>
          <w:rFonts w:ascii="Arial" w:hAnsi="Arial" w:cs="Arial"/>
          <w:b/>
          <w:bCs/>
          <w:color w:val="000000"/>
        </w:rPr>
      </w:pPr>
      <w:bookmarkStart w:id="1" w:name="loai_1"/>
      <w:r>
        <w:rPr>
          <w:rStyle w:val="vn4"/>
          <w:rFonts w:ascii="Arial" w:hAnsi="Arial" w:cs="Arial"/>
          <w:b/>
          <w:bCs/>
          <w:color w:val="000000"/>
        </w:rPr>
        <w:t>NGHỊ QUYẾT</w:t>
      </w:r>
      <w:bookmarkEnd w:id="1"/>
      <w:r>
        <w:rPr>
          <w:rFonts w:ascii="Arial" w:hAnsi="Arial" w:cs="Arial"/>
          <w:b/>
          <w:bCs/>
          <w:color w:val="000000"/>
        </w:rPr>
        <w:br/>
      </w:r>
      <w:bookmarkStart w:id="2" w:name="loai_1_name"/>
      <w:r>
        <w:rPr>
          <w:rStyle w:val="vn4"/>
          <w:rFonts w:ascii="Arial" w:hAnsi="Arial" w:cs="Arial"/>
          <w:b/>
          <w:bCs/>
          <w:color w:val="000000"/>
        </w:rPr>
        <w:t>HỘI NGHỊ LẦN THỨ BẢY</w:t>
      </w:r>
      <w:r>
        <w:rPr>
          <w:rFonts w:ascii="Arial" w:hAnsi="Arial" w:cs="Arial"/>
          <w:b/>
          <w:bCs/>
          <w:color w:val="000000"/>
        </w:rPr>
        <w:br/>
      </w:r>
      <w:r>
        <w:rPr>
          <w:rStyle w:val="vn4"/>
          <w:rFonts w:ascii="Arial" w:hAnsi="Arial" w:cs="Arial"/>
          <w:b/>
          <w:bCs/>
          <w:color w:val="000000"/>
        </w:rPr>
        <w:t>BAN CHẤP HÀNH TRUNG ƯƠNG KHOÁ XII</w:t>
      </w:r>
      <w:bookmarkEnd w:id="2"/>
    </w:p>
    <w:p w:rsidR="009A7AEB" w:rsidRDefault="009A7AEB" w:rsidP="005F6E92">
      <w:pPr>
        <w:pStyle w:val="NormalWeb"/>
        <w:shd w:val="clear" w:color="auto" w:fill="FFFFFF"/>
        <w:spacing w:before="0" w:beforeAutospacing="0" w:after="0" w:afterAutospacing="0" w:line="234" w:lineRule="atLeast"/>
        <w:jc w:val="center"/>
        <w:rPr>
          <w:rStyle w:val="vn4"/>
          <w:rFonts w:ascii="Arial" w:hAnsi="Arial" w:cs="Arial"/>
          <w:b/>
          <w:bCs/>
          <w:color w:val="000000"/>
        </w:rPr>
      </w:pPr>
    </w:p>
    <w:p w:rsidR="009A7AEB" w:rsidRDefault="009A7AEB" w:rsidP="005F6E92">
      <w:pPr>
        <w:pStyle w:val="NormalWeb"/>
        <w:shd w:val="clear" w:color="auto" w:fill="FFFFFF"/>
        <w:spacing w:before="0" w:beforeAutospacing="0" w:after="0" w:afterAutospacing="0" w:line="234" w:lineRule="atLeast"/>
        <w:jc w:val="center"/>
        <w:rPr>
          <w:rFonts w:ascii="Arial" w:hAnsi="Arial" w:cs="Arial"/>
          <w:color w:val="000000"/>
          <w:sz w:val="18"/>
          <w:szCs w:val="18"/>
        </w:rPr>
      </w:pPr>
    </w:p>
    <w:p w:rsidR="005F6E92" w:rsidRPr="005F6E92" w:rsidRDefault="005F6E92" w:rsidP="005F6E92">
      <w:pPr>
        <w:pStyle w:val="NormalWeb"/>
        <w:shd w:val="clear" w:color="auto" w:fill="FFFFFF"/>
        <w:spacing w:before="0" w:beforeAutospacing="0" w:after="0" w:afterAutospacing="0" w:line="234" w:lineRule="atLeast"/>
        <w:jc w:val="both"/>
        <w:rPr>
          <w:rFonts w:ascii="Arial" w:hAnsi="Arial" w:cs="Arial"/>
          <w:color w:val="000000"/>
          <w:sz w:val="20"/>
          <w:szCs w:val="20"/>
        </w:rPr>
      </w:pPr>
      <w:bookmarkStart w:id="3" w:name="loai_1_name_name"/>
      <w:r w:rsidRPr="005F6E92">
        <w:rPr>
          <w:rFonts w:ascii="Arial" w:hAnsi="Arial" w:cs="Arial"/>
          <w:color w:val="000000"/>
          <w:sz w:val="20"/>
          <w:szCs w:val="20"/>
        </w:rPr>
        <w:t>VỀ CẢI CÁCH CHÍNH SÁCH BẢO HIỂM XÃ HỘI</w:t>
      </w:r>
      <w:bookmarkEnd w:id="3"/>
    </w:p>
    <w:p w:rsidR="005F6E92" w:rsidRPr="005F6E92" w:rsidRDefault="005F6E92" w:rsidP="005F6E92">
      <w:pPr>
        <w:pStyle w:val="NormalWeb"/>
        <w:shd w:val="clear" w:color="auto" w:fill="FFFFFF"/>
        <w:spacing w:before="0" w:beforeAutospacing="0" w:after="0" w:afterAutospacing="0" w:line="234" w:lineRule="atLeast"/>
        <w:jc w:val="both"/>
        <w:rPr>
          <w:rFonts w:ascii="Arial" w:hAnsi="Arial" w:cs="Arial"/>
          <w:color w:val="000000"/>
          <w:sz w:val="20"/>
          <w:szCs w:val="20"/>
        </w:rPr>
      </w:pPr>
      <w:bookmarkStart w:id="4" w:name="muc_1"/>
      <w:r w:rsidRPr="005F6E92">
        <w:rPr>
          <w:rFonts w:ascii="Arial" w:hAnsi="Arial" w:cs="Arial"/>
          <w:b/>
          <w:bCs/>
          <w:color w:val="000000"/>
          <w:sz w:val="20"/>
          <w:szCs w:val="20"/>
        </w:rPr>
        <w:t>I- TÌNH HÌNH VÀ NGUYÊN NHÂN</w:t>
      </w:r>
      <w:bookmarkEnd w:id="4"/>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color w:val="000000"/>
          <w:sz w:val="20"/>
          <w:szCs w:val="20"/>
        </w:rPr>
        <w:t>1.</w:t>
      </w:r>
      <w:r w:rsidRPr="005F6E92">
        <w:rPr>
          <w:rFonts w:ascii="Arial" w:hAnsi="Arial" w:cs="Arial"/>
          <w:color w:val="000000"/>
          <w:sz w:val="20"/>
          <w:szCs w:val="20"/>
        </w:rPr>
        <w:t> Trong những năm qua, Đảng và Nhà nước ta đã luôn quan tâm lãnh đạo, chỉ đạo xây dựng và thực hiện chính sách an sinh xã hội, bảo đảm tiến bộ và công bằng xã hội, coi đó vừa là mục tiêu, vừa là động lực phát triển bền vững đất nước, thể hiện tính ưu việt, bản chất tốt đẹp của chế độ ta. Các cấp, các ngành, các tổ chức chính trị - xã hội, cộng đồng doanh nghiệp và người lao động đã tích cực triển khai thực hiện chủ trương của Đảng, chính sách, pháp luật của Nhà nước về bảo hiểm xã hội và đạt được nhiều kết quả quan trọng. Hệ thống pháp luật, chính sách bảo hiểm xã hội, bao gồm các chế độ hưu trí, tử tuất, ốm đau, thai sản, tai nạn lao động, bệnh nghề nghiệp và bảo hiểm thất nghiệp đã từng bước được hoàn thiện, ngày càng đồng bộ, phù hợp với thực tế đất nước và thông lệ quốc tế. Chính sách bảo hiểm xã hội đã từng bước khẳng định và phát huy vai trò là một trụ cột chính của hệ thống an sinh xã hội, là sự bảo đảm thay thế, hoặc bù đắp một phần thu nhập cho người lao động khi họ gặp phải những rủi ro trong cuộc sống.</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Quỹ bảo hiểm xã hội đã trở thành quỹ an sinh lớn nhất, hoạt động theo nguyên tắc đóng - hưởng và chia sẻ giữa những người lao động cùng thế hệ và giữa các thế hệ tham gia bảo hiểm xã hội. Diện bao phủ bảo hiểm xã hội theo quy định của pháp luật, số người tham gia bảo hiểm xã hội ngày càng được mở rộng, số người được hưởng bảo hiểm xã hội không ngừng tăng lên.</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Hệ thống tổ chức bảo hiểm xã hội từng bước được đổi mới, về cơ bản đáp ứng được yêu cầu, nhiệm vụ, phát huy được vai trò, tính hiệu quả trong xây dựng, tổ chức thực hiện chính sách và quản lý Quỹ bảo hiểm xã hội. Năng lực, hiệu lực, hiệu quả quản lý nhà nước về bảo hiểm xã hội được nâng lên; việc giải quyết chế độ, chính sách cho người lao động có nhiều tiến bộ.</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color w:val="000000"/>
          <w:sz w:val="20"/>
          <w:szCs w:val="20"/>
        </w:rPr>
        <w:t>2.</w:t>
      </w:r>
      <w:r w:rsidRPr="005F6E92">
        <w:rPr>
          <w:rFonts w:ascii="Arial" w:hAnsi="Arial" w:cs="Arial"/>
          <w:color w:val="000000"/>
          <w:sz w:val="20"/>
          <w:szCs w:val="20"/>
        </w:rPr>
        <w:t> Tuy nhiên, việc xây dựng và tổ chức thực hiện chính sách bảo hiểm xã hội vẫn còn nhiều hạn chế, bất cập. Hệ thống chính sách, pháp luật về bảo hiểm xã hội chưa theo kịp tình hình phát triển kinh tế - xã hội, chưa thích ứng với quá trình già hóa dân số và sự xuất hiện các quan hệ lao động mới. Việc mở rộng và phát triển đối tượng tham gia bảo hiểm xã hội còn dưới mức tiềm năng; độ bao phủ bảo hiểm xã hội tăng chậm; số người hưởng bảo hiểm xã hội một lần tăng nhanh. Tình trạng trốn đóng, nợ đóng, gian lận, trục lợi bảo hiểm xã hội chậm được khắc phục. Quỹ hưu trí và tử tuất có nguy cơ mất cân đối trong dài hạn.</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Chính sách bảo hiểm thất nghiệp chưa thực sự gắn với thị trường lao động, mới tập trung nhiều cho khu vực chính thức, chưa có chính sách phù hợp cho khu vực phi chính thức (nơi người lao động dễ bị tổn thương), còn nặng về giải quyết trợ cấp thất nghiệp, chưa chú ý thoả đáng đến các giải pháp phòng ngừa theo thông lệ quốc tế. Cơ chế quản lý, cơ chế tài chính và tổ chức bộ máy thực hiện bảo hiểm thất nghiệp còn nhiều điểm bất cập. Các chế độ bảo hiểm xã hội chưa thể hiện đầy đủ các nguyên tắc đóng - hưởng; công bằng, bình đẳng; chia sẻ và bền vững.</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color w:val="000000"/>
          <w:sz w:val="20"/>
          <w:szCs w:val="20"/>
        </w:rPr>
        <w:t>3.</w:t>
      </w:r>
      <w:r w:rsidRPr="005F6E92">
        <w:rPr>
          <w:rFonts w:ascii="Arial" w:hAnsi="Arial" w:cs="Arial"/>
          <w:color w:val="000000"/>
          <w:sz w:val="20"/>
          <w:szCs w:val="20"/>
        </w:rPr>
        <w:t> Những hạn chế, yếu kém nêu trên do nhiều nguyên nhân, trong đó nguyên nhân chủ quan là chủ yếu. Một số cấp uỷ, chính quyền lãnh đạo, chỉ đạo thiếu quyết liệt. Năng lực, hiệu lực, hiệu quả quản lý nhà nước hiệu quả thấp; tính tuân thủ pháp luật chưa cao. Nhận thức của một bộ phận người lao động, người sử dụng lao động về vai trò, mục đích, ý nghĩa của bảo hiểm xã hội chưa đầy đủ. Hiệu lực, hiệu quả thanh tra, kiểm tra, giám sát, xử lý vi phạm trong thực hiện chính sách bảo hiểm xã hội còn bất cập. Công tác thông tin, tuyên truyền, phổ biến chính sách, pháp luật về bảo hiểm xã hội chưa thật sự tạo được sự tin cậy để thu hút người lao động tham gia bảo hiểm xã hội.</w:t>
      </w:r>
    </w:p>
    <w:p w:rsidR="005F6E92" w:rsidRPr="005F6E92" w:rsidRDefault="005F6E92" w:rsidP="005F6E92">
      <w:pPr>
        <w:pStyle w:val="NormalWeb"/>
        <w:shd w:val="clear" w:color="auto" w:fill="FFFFFF"/>
        <w:spacing w:before="0" w:beforeAutospacing="0" w:after="0" w:afterAutospacing="0" w:line="234" w:lineRule="atLeast"/>
        <w:jc w:val="both"/>
        <w:rPr>
          <w:rFonts w:ascii="Arial" w:hAnsi="Arial" w:cs="Arial"/>
          <w:color w:val="000000"/>
          <w:sz w:val="20"/>
          <w:szCs w:val="20"/>
        </w:rPr>
      </w:pPr>
      <w:bookmarkStart w:id="5" w:name="muc_2"/>
      <w:r w:rsidRPr="005F6E92">
        <w:rPr>
          <w:rFonts w:ascii="Arial" w:hAnsi="Arial" w:cs="Arial"/>
          <w:b/>
          <w:bCs/>
          <w:color w:val="000000"/>
          <w:sz w:val="20"/>
          <w:szCs w:val="20"/>
        </w:rPr>
        <w:t>II- QUAN ĐIỂM CHỈ ĐẠO VÀ MỤC TIÊU</w:t>
      </w:r>
      <w:bookmarkEnd w:id="5"/>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color w:val="000000"/>
          <w:sz w:val="20"/>
          <w:szCs w:val="20"/>
        </w:rPr>
        <w:t>1. Quan điểm chỉ đạo</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(1) Bảo hiểm xã hội là một trụ cột chính của hệ thống an sinh xã hội trong nền kinh tế thị trường định hướng xã hội chủ nghĩa, góp phần quan trọng thực hiện tiến bộ, công bằng xã hội, bảo đảm ổn định chính trị - xã hội, đời sống nhân dân, phát triển bền vững đất nước.</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lastRenderedPageBreak/>
        <w:t>(2) Phát triển hệ thống chính sách bảo hiểm xã hội linh hoạt, đa dạng, đa tầng, hiện đại, hội nhập quốc tế; huy động các nguồn lực xã hội theo truyền thống tương thân tương ái của dân tộc; hướng tới bao phủ toàn dân theo lộ trình phù hợp với điều kiện phát triển kinh tế - xã hội; kết hợp hài hoà các nguyên tắc đóng - hưởng; công bằng, bình đẳng; chia sẻ và bền vững.</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(3) Cải cách chính sách bảo hiểm xã hội vừa mang tính cấp bách, vừa mang tính lâu dài; kết hợp hài hoà giữa kế thừa, ổn định với đổi mới, phát triển và phải đặt trong mối tương quan với đổi mới, phát triển các chính sách xã hội khác, nhất là chế độ tiền lương, thu nhập, trợ giúp xã hội để mọi công dân đều được bảo đảm an sinh xã hội.</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(4) Phát triển hệ thống tổ chức thực hiện chính sách bảo hiểm xã hội bảo đảm tinh gọn, chuyên nghiệp, hiệu quả, hiện đại, nâng cao tính hấp dẫn, củng cố niềm tin và sự hài lòng của người dân cũng như các chủ thể tham gia bảo hiểm xã hội.</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(5) Thực hiện tốt chính sách bảo hiểm xã hội là nhiệm vụ của cả hệ thống chính trị, là trách nhiệm của các cấp ủy đảng, chính quyền, Mặt trận Tổ quốc Việt Nam, các tổ chức chính trị - xã hội, doanh nghiệp và của mỗi người dân.</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color w:val="000000"/>
          <w:sz w:val="20"/>
          <w:szCs w:val="20"/>
        </w:rPr>
        <w:t>2. Mục tiêu</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i/>
          <w:iCs/>
          <w:color w:val="000000"/>
          <w:sz w:val="20"/>
          <w:szCs w:val="20"/>
        </w:rPr>
        <w:t>2.1. Mục tiêu tổng quát</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Cải cách chính sách bảo hiểm xã hội để bảo hiểm xã hội thực sự là một trụ cột chính của hệ thống an sinh xã hội, từng bước mở rộng vững chắc diện bao phủ bảo hiểm xã hội, hướng tới mục tiêu bảo hiểm xã hội toàn dân. Phát triển hệ thống bảo hiểm xã hội 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bảo hiểm xã hội tinh gọn, chuyên nghiệp, hiện đại, tin cậy và minh bạch.</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i/>
          <w:iCs/>
          <w:color w:val="000000"/>
          <w:sz w:val="20"/>
          <w:szCs w:val="20"/>
        </w:rPr>
        <w:t>2.2. Mục tiêu cụ thể</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i/>
          <w:iCs/>
          <w:color w:val="000000"/>
          <w:sz w:val="20"/>
          <w:szCs w:val="20"/>
        </w:rPr>
        <w:t>Giai đoạn đến năm 2021:</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Phấn đấu đạt khoảng 35% lực lượng lao động trong độ tuổi tham gia bảo hiểm xã hội, trong đó nông dân và lao động khu vực phi chính thức tham gia bảo hiểm xã hội tự nguyện chiếm khoảng 1% lực lượng lao động trong độ tuổi; khoảng 28% lực lượng lao động trong độ tuổi tham gia bảo hiểm thất nghiệp; có khoảng 45% số người sau độ tuổi nghỉ hưu được hưởng lương hưu, bảo hiểm xã hội hằng tháng và trợ cấp hưu trí xã hội; tỉ lệ giao dịch điện tử đạt 100%; thực hiện dịch vụ công trực tuyến mức độ 4; giảm số giờ giao dịch giữa cơ quan bảo hiểm xã hội với doanh nghiệp đạt mức ASEAN 4; chỉ số đánh giá mức độ hài lòng của người tham gia bảo hiểm xã hội đạt mức 80%.</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i/>
          <w:iCs/>
          <w:color w:val="000000"/>
          <w:sz w:val="20"/>
          <w:szCs w:val="20"/>
        </w:rPr>
        <w:t>Giai đoạn đến năm 2025:</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Phấn đấu đạt khoảng 45% lực lượng lao động trong độ tuổi tham gia bảo hiểm xã hội, trong đó nông dân và lao động khu vực phi chính thức tham gia bảo hiểm xã hội tự nguyện chiếm khoảng 2,5% lực lượng lao động trong độ tuổi; khoảng 35% lực lượng lao động trong độ tuổi tham gia bảo hiểm thất nghiệp; có khoảng 55% số người sau độ tuổi nghỉ hưu được hưởng lương hưu, bảo hiểm xã hội hằng tháng và trợ cấp hưu trí xã hội; chỉ số đánh giá mức độ hài lòng của người tham gia bảo hiểm xã hội đạt mức 85%.</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i/>
          <w:iCs/>
          <w:color w:val="000000"/>
          <w:sz w:val="20"/>
          <w:szCs w:val="20"/>
        </w:rPr>
        <w:t>Giai đoạn đến năm 2030:</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Phấn đấu đạt khoảng 60% lực lượng lao động trong độ tuổi tham gia bảo hiểm xã hội, trong đó nông dân và lao động khu vực phi chính thức tham gia bảo hiểm xã hội tự nguyện chiếm khoảng 5% lực lượng lao động trong độ tuổi; khoảng 45% lực lượng lao động trong độ tuổi tham gia bảo hiểm thất nghiệp; khoảng 60% số người sau độ tuổi nghỉ hưu được hưởng lương hưu, bảo hiểm xã hội hằng tháng và trợ cấp hưu trí xã hội; chỉ số đánh giá mức độ hài lòng của người tham gia bảo hiểm xã hội đạt mức 90%.</w:t>
      </w:r>
    </w:p>
    <w:p w:rsidR="005F6E92" w:rsidRPr="005F6E92" w:rsidRDefault="005F6E92" w:rsidP="005F6E92">
      <w:pPr>
        <w:pStyle w:val="NormalWeb"/>
        <w:shd w:val="clear" w:color="auto" w:fill="FFFFFF"/>
        <w:spacing w:before="0" w:beforeAutospacing="0" w:after="0" w:afterAutospacing="0" w:line="234" w:lineRule="atLeast"/>
        <w:jc w:val="both"/>
        <w:rPr>
          <w:rFonts w:ascii="Arial" w:hAnsi="Arial" w:cs="Arial"/>
          <w:color w:val="000000"/>
          <w:sz w:val="20"/>
          <w:szCs w:val="20"/>
        </w:rPr>
      </w:pPr>
      <w:bookmarkStart w:id="6" w:name="muc_3"/>
      <w:r w:rsidRPr="005F6E92">
        <w:rPr>
          <w:rFonts w:ascii="Arial" w:hAnsi="Arial" w:cs="Arial"/>
          <w:b/>
          <w:bCs/>
          <w:color w:val="000000"/>
          <w:sz w:val="20"/>
          <w:szCs w:val="20"/>
        </w:rPr>
        <w:t>III- NỘI DUNG CẢI CÁCH</w:t>
      </w:r>
      <w:bookmarkEnd w:id="6"/>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Thực hiện đồng bộ các nội dung cải cách để mở rộng diện bao phủ bảo hiểm xã hội, hướng tới mục tiêu bảo hiểm xã hội toàn dân; bảo đảm cân đối Quỹ bảo hiểm xã hội trong dài hạn, điều chỉnh lương hưu độc lập tương đối trong mối tương quan với tiền lương của người đang làm việc, thay đổi cách thức điều chỉnh lương hưu theo hướng chia sẻ.</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color w:val="000000"/>
          <w:sz w:val="20"/>
          <w:szCs w:val="20"/>
        </w:rPr>
        <w:t>1. Xây dựng hệ thống bảo hiểm xã hội đa tầng</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 </w:t>
      </w:r>
      <w:r w:rsidRPr="005F6E92">
        <w:rPr>
          <w:rFonts w:ascii="Arial" w:hAnsi="Arial" w:cs="Arial"/>
          <w:i/>
          <w:iCs/>
          <w:color w:val="000000"/>
          <w:sz w:val="20"/>
          <w:szCs w:val="20"/>
        </w:rPr>
        <w:t>Trợ cấp hưu trí xã hội:</w:t>
      </w:r>
      <w:r w:rsidRPr="005F6E92">
        <w:rPr>
          <w:rFonts w:ascii="Arial" w:hAnsi="Arial" w:cs="Arial"/>
          <w:color w:val="000000"/>
          <w:sz w:val="20"/>
          <w:szCs w:val="20"/>
        </w:rPr>
        <w:t xml:space="preserve"> Ngân sách nhà nước cung cấp một khoản trợ cấp cho người cao tuổi không có lương hưu, hoặc bảo hiểm xã hội hằng tháng. Có chính sách huy động các nguồn lực xã hội đóng thêm để các đối </w:t>
      </w:r>
      <w:r w:rsidRPr="005F6E92">
        <w:rPr>
          <w:rFonts w:ascii="Arial" w:hAnsi="Arial" w:cs="Arial"/>
          <w:color w:val="000000"/>
          <w:sz w:val="20"/>
          <w:szCs w:val="20"/>
        </w:rPr>
        <w:lastRenderedPageBreak/>
        <w:t>tượng này có mức hưởng cao hơn; điều chỉnh giảm dần độ tuổi hưởng trợ cấp hưu trí xã hội phù hợp với khả năng của ngân sách.</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 </w:t>
      </w:r>
      <w:r w:rsidRPr="005F6E92">
        <w:rPr>
          <w:rFonts w:ascii="Arial" w:hAnsi="Arial" w:cs="Arial"/>
          <w:i/>
          <w:iCs/>
          <w:color w:val="000000"/>
          <w:sz w:val="20"/>
          <w:szCs w:val="20"/>
        </w:rPr>
        <w:t>Bảo hiểm xã hội cơ bản, bao gồm bảo hiểm xã hội bắt buộc và bảo hiểm xã hội tự nguyện:</w:t>
      </w:r>
      <w:r w:rsidRPr="005F6E92">
        <w:rPr>
          <w:rFonts w:ascii="Arial" w:hAnsi="Arial" w:cs="Arial"/>
          <w:color w:val="000000"/>
          <w:sz w:val="20"/>
          <w:szCs w:val="20"/>
        </w:rPr>
        <w:t> Bảo hiểm xã hội bắt buộc (với các chế độ hưu trí, tử tuất, tai nạn lao động, bệnh nghề nghiệp, ốm đau, thai sản, thất nghiệp) dựa trên đóng góp của người lao động và người sử dụng lao động. Bảo hiểm xã hội tự nguyện (với các chế độ hưu trí, tử tuất hiện nay, từng bước mở rộng sang các chế độ khác) dựa trên đóng góp của người lao động không có quan hệ lao động; có sự hỗ trợ phù hợp từ ngân sách nhà nước cho nông dân, người nghèo, người có thu nhập thấp, lao động khu vực phi chính thức để mở rộng diện bao phủ bảo hiểm xã hội; nâng cao ý thức, trách nhiệm của người lao động đối với việc tự bảo đảm an sinh cho bản thân. Mở rộng diện bao phủ bảo hiểm xã hội theo lộ trình điều chỉnh tăng tuổi nghỉ hưu phù hợp từng thời kỳ.</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 </w:t>
      </w:r>
      <w:r w:rsidRPr="005F6E92">
        <w:rPr>
          <w:rFonts w:ascii="Arial" w:hAnsi="Arial" w:cs="Arial"/>
          <w:i/>
          <w:iCs/>
          <w:color w:val="000000"/>
          <w:sz w:val="20"/>
          <w:szCs w:val="20"/>
        </w:rPr>
        <w:t>Bảo hiểm hưu trí bổ sung</w:t>
      </w:r>
      <w:r w:rsidRPr="005F6E92">
        <w:rPr>
          <w:rFonts w:ascii="Arial" w:hAnsi="Arial" w:cs="Arial"/>
          <w:color w:val="000000"/>
          <w:sz w:val="20"/>
          <w:szCs w:val="20"/>
        </w:rPr>
        <w:t> là chế độ hưu trí tự nguyện theo nguyên tắc thị trường, tạo điều kiện cho người sử dụng lao động và người lao động có thêm sự lựa chọn tham gia đóng góp để được hưởng mức lương hưu cao hơn.</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color w:val="000000"/>
          <w:sz w:val="20"/>
          <w:szCs w:val="20"/>
        </w:rPr>
        <w:t>2. Sửa đổi quy định về điều kiện thời gian tham gia bảo hiểm xã hội tối thiểu để hưởng chế độ hưu trí theo hướng linh hoạt đồng thời với việc điều chỉnh cách tính lương hưu theo nguyên tắc đóng - hưởng, công bằng, bình đẳng, chia sẻ và bền vững. Mở rộng đối tượng tham gia bảo hiểm xã hội bắt buộc sang các nhóm đối tượng khác</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Sửa đổi điều kiện hưởng chế độ hưu trí theo hướng giảm dần số năm đóng bảo hiểm xã hội tối thiểu để được hưởng chế độ hưu trí từ 20 năm xuống 15 năm, hướng tới còn 10 năm với mức hưởng được tính toán phù hợp nhằm tạo điều kiện cho người lao động cao tuổi, có số năm tham gia bảo hiểm xã hội thấp được tiếp cận và thụ hưởng quyền lợi bảo hiểm xã hội. Tiếp tục rà soát, sửa đổi, hoàn thiện cách tính lương hưu, bảo đảm công bằng giữa nam và nữ, giữa khu vực nhà nước và khu vực ngoài nhà nước, kết hợp hài hoà các nguyên tắc đóng - hưởng và chia sẻ giữa người có mức lương cao với người có mức lương thấp để thu hẹp khoảng cách về thu nhập trong các đối tượng hưởng chế độ hưu trí. Rà soát, mở rộng đối tượng tham gia bảo hiểm xã hội bắt buộc đối với các nhóm chủ hộ kinh doanh, người quản lý doanh nghiệp, người quản lý, điều hành hợp tác xã không hưởng tiền lương, người lao động làm việc theo chế độ linh hoạt.</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color w:val="000000"/>
          <w:sz w:val="20"/>
          <w:szCs w:val="20"/>
        </w:rPr>
        <w:t>3. Tăng cường sự liên kết, hỗ trợ giữa các chính sách bảo hiểm xã hội cũng như tính linh hoạt của các chính sách nhằm đạt được mục tiêu mở rộng diện bao phủ</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Nghiên cứu sửa đổi, hoàn thiện chính sách bảo hiểm thất nghiệp, chú trọng không chỉ các giải pháp xử lý hậu quả thông qua việc chi trả trợ cấp thất nghiệp, đào tạo đáp ứng yêu cầu của công việc mới, giới thiệu việc làm mà cần chú ý thoả đáng đến các giải pháp phòng ngừa, giảm thiểu tình trạng thất nghiệp thông qua việc hỗ trợ doanh nghiệp duy trì sản xuất kinh doanh, bảo đảm việc làm cho người lao động. Nghiên cứu thiết kế các gói bảo hiểm xã hội tự nguyện ngắn hạn linh hoạt để người lao động có nhiều sự lựa chọn tham gia và thụ hưởng. Mở rộng các chế độ bảo hiểm xã hội tự nguyện, tạo điều kiện chuyển đổi thuận lợi giữa bảo hiểm xã hội tự nguyện và bảo hiểm xã hội bắt buộc, hướng tới chính sách bảo hiểm xã hội bắt buộc đối với toàn bộ người lao động có việc làm, có thu nhập và tiền lương khi có đủ điều kiện cần thiết.</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color w:val="000000"/>
          <w:sz w:val="20"/>
          <w:szCs w:val="20"/>
        </w:rPr>
        <w:t>4. Cải cách trong xây dựng và tổ chức thực hiện chính sách nhằm củng cố niềm tin, tăng mức độ hài lòng của người tham gia vào hệ thống bảo hiểm xã hội</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Xây dựng chính sách bảo hiểm xã hội bảo đảm sự công bằng, không phân biệt đối xử giữa các nhóm đối tượng tham gia; tăng cường sự chia sẻ giữa các nhóm đối tượng thụ hưởng nhằm khắc phục bất hợp lý, chênh lệch quá lớn về mức hưởng. Đẩy mạnh cải cách hành chính, ứng dụng công nghệ thông tin, đơn giản hoá các quy trình, thủ tục đăng ký, đóng, hưởng bảo hiểm xã hội, nâng cao chất lượng cung cấp dịch vụ bảo hiểm xã hội theo hướng thân thiện, công khai, minh bạch, tạo thuận lợi cho người dân và doanh nghiệp.</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color w:val="000000"/>
          <w:sz w:val="20"/>
          <w:szCs w:val="20"/>
        </w:rPr>
        <w:t>5. Đẩy nhanh quá trình gia tăng số lao động tham gia bảo hiểm xã hội trong khu vực phi chính thức</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Đẩy mạnh phát triển doanh nghiệp theo tinh thần Nghị quyết số 10-NQ/TW, ngày 03/6/2017 của Ban Chấp hành Trung ương khoá XII về phát triển kinh tế tư nhân trở thành một động lực quan trọng của nền kinh tế thị trường định hướng xã hội chủ nghĩa. Nghiên cứu thiết kế các gói bảo hiểm xã hội ngắn hạn với mức đóng, mức hưởng, phương thức giao dịch phù hợp với người lao động trong khu vực phi chính thức.</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color w:val="000000"/>
          <w:sz w:val="20"/>
          <w:szCs w:val="20"/>
        </w:rPr>
        <w:t>6. Sửa đổi, khắc phục các bất hợp lý về chế độ bảo hiểm hưu trí hiện nay theo hướng linh hoạt hơn về điều kiện hưởng chế độ hưu trí, chặt chẽ hơn trong quy định hưởng chế độ bảo hiểm xã hội một lần, tăng tuổi nghỉ hưu bình quân thực tế của người lao động</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Có quy định phù hợp để giảm tình trạng hưởng bảo hiểm xã hội một lần theo hướng tăng quyền lợi nếu bảo lưu thời gian tham gia bảo hiểm xã hội để hưởng chế độ hưu trí, giảm quyền lợi nếu hưởng bảo hiểm xã hội một lần.</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lastRenderedPageBreak/>
        <w:t>Sửa đổi các quy định để khuyến khích người lao động tham gia bảo hiểm xã hội thời gian dài hơn, từng bước tăng tuổi nghỉ hưu bình quân, tăng tỉ lệ giảm trừ tiền lương hưu đối với người lao động muốn nhận chế độ hưu trí sớm.</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color w:val="000000"/>
          <w:sz w:val="20"/>
          <w:szCs w:val="20"/>
        </w:rPr>
        <w:t>7. Thực hiện điều chỉnh tăng tuổi nghỉ hưu theo lộ trình</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Điều chỉnh tuổi nghỉ hưu cần có tầm nhìn dài hạn và có lộ trình phù hợp với tăng trưởng kinh tế, giải quyết việc làm, thất nghiệp; không gây tác động tiêu cực đến thị trường lao động; bảo đảm số lượng, chất lượng và cơ cấu dân số; bình đẳng giới; cân đối Quỹ bảo hiểm xã hội trong dài hạn; xu hướng già hoá dân số; tính chất, loại hình lao động và giữa các ngành nghề, lĩnh vực.</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Từ năm 2021, thực hiện điều chỉnh tuổi nghỉ hưu theo mục tiêu tăng tuổi nghỉ hưu chung, thu hẹp dần khoảng cách về giới trong quy định tuổi nghỉ hưu; đối với những ngành nghề đặc biệt, người lao động được quyền nghỉ hưu sớm, hoặc muộn hơn 5 tuổi so với tuổi nghỉ hưu chung.</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color w:val="000000"/>
          <w:sz w:val="20"/>
          <w:szCs w:val="20"/>
        </w:rPr>
        <w:t>8. Sửa đổi các quy định về mức đóng, căn cứ đóng bảo hiểm xã hội để đạt mục tiêu mở rộng diện bao phủ bảo hiểm xã hội</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Sửa đổi quy định về căn cứ đóng bảo hiểm xã hội của khu vực doanh nghiệp ít nhất bằng khoảng 70% tổng tiền lương và các khoản thu nhập khác có tính chất lương của người lao động để khắc phục tình trạng trốn đóng, đóng không đủ bảo hiểm xã hội, ảnh hưởng đến khả năng cân đối Quỹ bảo hiểm xã hội và quyền lợi của người lao động.</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Nghiên cứu điều chỉnh tỉ lệ đóng vào Quỹ bảo hiểm xã hội theo hướng hài hoà quyền lợi giữa người sử dụng lao động và người lao động.</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color w:val="000000"/>
          <w:sz w:val="20"/>
          <w:szCs w:val="20"/>
        </w:rPr>
        <w:t>9. Điều chỉnh tỉ lệ tích luỹ để đạt tỉ lệ hưởng lương hưu tối đa phù hợp với thông lệ quốc tế</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Sửa đổi cách tính lương hưu theo hướng giảm tỉ lệ tích luỹ, bảo đảm khả năng cân đối quỹ hưu trí trong dài hạn, phù hợp với thông lệ quốc tế. Có lộ trình điều chỉnh kéo dài thời gian tham gia bảo hiểm xã hội thực tế, bảo vệ quyền lợi của người hưởng chế độ hưu trí theo nguyên tắc đóng - hưởng, công bằng và chia sẻ phù hợp.</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color w:val="000000"/>
          <w:sz w:val="20"/>
          <w:szCs w:val="20"/>
        </w:rPr>
        <w:t>10. Đa dạng hóa danh mục, cơ cấu đầu tư Quỹ bảo hiểm xã hội theo nguyên tắc an toàn, bền vững, hiệu quả</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Tăng cường công tác đánh giá, dự báo tài chính, hiệu quả đầu tư các quỹ bảo hiểm xã hội; đa dạng hóa danh mục, cơ cấu đầu tư Quỹ bảo hiểm xã hội theo nguyên tắc an toàn, bền vững và hiệu quả; ưu tiên đầu tư vào trái phiếu chính phủ, nhất là trái phiếu chính phủ dài hạn; nghiên cứu từng bước mở rộng sang các lĩnh vực có khả năng sinh lời cao, từng bước và có lộ trình đầu tư một phần tiền nhàn rỗi của Quỹ thông qua ủy thác đầu tư tại thị trường trong nước và quốc tế bảo đảm an toàn, bền vững.</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color w:val="000000"/>
          <w:sz w:val="20"/>
          <w:szCs w:val="20"/>
        </w:rPr>
        <w:t>11. Thực hiện điều chỉnh lương hưu độc lập tương đối trong mối tương quan với tiền lương của người đang làm việc, thay đổi cách thức điều chỉnh lương hưu theo hướng chia sẻ</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Thực hiện điều chỉnh trợ cấp hưu trí xã hội theo khả năng cân đối của ngân sách nhà nước; lương hưu cơ bản được điều chỉnh chủ yếu dựa trên cơ sở mức tăng của chỉ số giá tiêu dùng, khả năng của Quỹ bảo hiểm xã hội và ngân sách nhà nước; quan tâm điều chỉnh thỏa đáng đối với nhóm đối tượng có mức lương hưu thấp và nghỉ hưu trước năm 1995 nhằm thu hẹp khoảng cách chênh lệch lương hưu giữa người nghỉ hưu ở các thời kỳ.</w:t>
      </w:r>
    </w:p>
    <w:p w:rsidR="005F6E92" w:rsidRPr="005F6E92" w:rsidRDefault="005F6E92" w:rsidP="005F6E92">
      <w:pPr>
        <w:pStyle w:val="NormalWeb"/>
        <w:shd w:val="clear" w:color="auto" w:fill="FFFFFF"/>
        <w:spacing w:before="0" w:beforeAutospacing="0" w:after="0" w:afterAutospacing="0" w:line="234" w:lineRule="atLeast"/>
        <w:jc w:val="both"/>
        <w:rPr>
          <w:rFonts w:ascii="Arial" w:hAnsi="Arial" w:cs="Arial"/>
          <w:color w:val="000000"/>
          <w:sz w:val="20"/>
          <w:szCs w:val="20"/>
        </w:rPr>
      </w:pPr>
      <w:bookmarkStart w:id="7" w:name="muc_4"/>
      <w:r w:rsidRPr="005F6E92">
        <w:rPr>
          <w:rFonts w:ascii="Arial" w:hAnsi="Arial" w:cs="Arial"/>
          <w:b/>
          <w:bCs/>
          <w:color w:val="000000"/>
          <w:sz w:val="20"/>
          <w:szCs w:val="20"/>
        </w:rPr>
        <w:t>IV- NHIỆM VỤ, GIẢI PHÁP CHỦ YẾU</w:t>
      </w:r>
      <w:bookmarkEnd w:id="7"/>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color w:val="000000"/>
          <w:sz w:val="20"/>
          <w:szCs w:val="20"/>
        </w:rPr>
        <w:t>1. Tăng cường lãnh đạo, chỉ đạo công tác thông tin, tuyên truyền, nâng cao nhận thức về chính sách bảo hiểm xã hội</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Cấp ủy đảng, chính quyền các cấp tăng cường lãnh đạo, chỉ đạo công tác thông tin, tuyên truyền; đổi mới nội dung, hình thức tuyên truyền, phổ biến chính sách, pháp luật về bảo hiểm xã hội để cán bộ, đảng viên, nhân dân hiểu rõ sự cần thiết, lợi ích, vai trò, ý nghĩa và những nội dung cơ bản của cải cách chính sách bảo hiểm xã hội đối với bảo đảm an sinh xã hội, an ninh chính trị, trật tự, an toàn xã hội, tạo sự đồng thuận, thống nhất trong thực hiện chính sách bảo hiểm xã hội.</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color w:val="000000"/>
          <w:sz w:val="20"/>
          <w:szCs w:val="20"/>
        </w:rPr>
        <w:t>2. Hoàn thiện hệ thống pháp luật về lao động, việc làm, bảo hiểm xã hội</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Thể chế hoá các chủ trương và hoàn thiện pháp luật, chính sách về bảo hiểm xã hội phải kết hợp với hoàn thiện pháp luật, chính sách về chế độ tiền lương, việc làm, chính sách người có công với cách mạng và các chính sách, pháp luật trong các lĩnh vực có liên quan khác.</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 xml:space="preserve">Sửa đổi, bổ sung pháp luật về bảo hiểm xã hội theo hướng tiến tới thực hiện bảo hiểm xã hội toàn dân; thiết kế hệ thống bảo hiểm xã hội đa tầng; hoàn thiện các quy định về đóng - hưởng bảo hiểm xã hội, bảo đảm các </w:t>
      </w:r>
      <w:r w:rsidRPr="005F6E92">
        <w:rPr>
          <w:rFonts w:ascii="Arial" w:hAnsi="Arial" w:cs="Arial"/>
          <w:color w:val="000000"/>
          <w:sz w:val="20"/>
          <w:szCs w:val="20"/>
        </w:rPr>
        <w:lastRenderedPageBreak/>
        <w:t>nguyên tắc công bằng, bình đẳng, chia sẻ và bền vững. Rà soát, sửa đổi các quy định về người lao động Việt Nam đi làm việc ở nước ngoài, người nước ngoài vào làm việc tại Việt Nam tham gia bảo hiểm xã hội bắt buộc, gắn với việc đẩy mạnh đàm phán, ký kết hiệp định song phương về bảo hiểm xã hội.</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Sửa đổi, bổ sung chính sách bảo hiểm thất nghiệp, chính sách việc làm theo hướng hỗ trợ doanh nghiệp và người lao động duy trì việc làm, bảo đảm quyền lợi chính đáng của doanh nghiệp và người lao động, khắc phục tình trạng gian lận, trục lợi bảo hiểm thất nghiệp. Có quy định cụ thể và cơ chế quản lý chặt chẽ việc đầu tư Quỹ bảo hiểm xã hội, bảo đảm việc đầu tư Quỹ bảo hiểm xã hội an toàn, bền vững, hiệu quả.</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Hoàn thiện các chế tài xử lý vi phạm pháp luật về bảo hiểm xã hội, nhất là đối với các hành vi trốn đóng, nợ đóng, trục lợi bảo hiểm xã hội theo hướng cơ quan quản lý nhà nước về bảo hiểm xã hội và cơ quan quản lý Quỹ bảo hiểm xã hội có thẩm quyền xử phạt các doanh nghiệp trốn đóng, nợ đóng, gian lận, trục lợi bảo hiểm xã hội; đồng thời, các doanh nghiệp và người lao động có quyền khiếu nại, hoặc khởi kiện cơ quan quản lý nhà nước và cơ quan quản lý Quỹ bảo hiểm xã hội nếu phát hiện có sai phạm trong thực hiện chính sách bảo hiểm xã hội.</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color w:val="000000"/>
          <w:sz w:val="20"/>
          <w:szCs w:val="20"/>
        </w:rPr>
        <w:t>3. Nâng cao hiệu lực, hiệu quả quản lý nhà nước về bảo hiểm xã hội</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Nâng cao năng lực, hiệu lực, hiệu quả quản lý nhà nước về bảo hiểm xã hội, nhất là trong việc hoạch định chiến lược phát triển, xây dựng và hoàn thiện hệ thống pháp luật bảo hiểm xã hội. Tăng cường sự phối hợp giữa các cấp, các ngành và địa phương trong lãnh đạo, chỉ đạo tổ chức thực hiện chính sách bảo hiểm xã hội, kịp thời xử lý những khó khăn, vướng mắc phát sinh.</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Nâng cao tính tuân thủ pháp luật về bảo hiểm xã hội thông qua thực hiện đồng bộ các biện pháp hành chính, kinh tế, tư pháp để tăng số người tham gia bảo hiểm xã hội, đi đôi với chú trọng tăng số người thụ hưởng quyền lợi bảo hiểm xã hội, đặc biệt là chế độ hưu trí. Tăng cường công tác thanh tra, kiểm tra, giám sát việc chấp hành pháp luật về bảo hiểm xã hội, kịp thời phát hiện và xử lý nghiêm các vi phạm, nhất là các hành vi trốn đóng, nợ đóng, gian lận, trục lợi tiền bảo hiểm xã hội.</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Sửa đổi, bổ sung, hoàn thiện các văn bản quy phạm pháp luật để đẩy mạnh việc phân cấp cho các cơ quan bảo hiểm xã hội; thực hiện giao chỉ tiêu phát triển đối tượng tham gia bảo hiểm xã hội cho các địa phương; phân định rõ quản lý nhà nước với quản trị bộ máy tổ chức thực hiện chính sách bảo hiểm xã hội.</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Tăng cường công tác phối hợp, chia sẻ, kết nối thông tin, dữ liệu giữa cơ quan quản lý nhà nước về đầu tư, tài chính, thuế, lao động để nâng cao hiệu quả quản lý đối tượng tham gia bảo hiểm xã hội và thực thi chính sách bảo hiểm xã hội. Nâng cao năng lực và hiệu quả công tác nghiên cứu lý luận và tổng kết thực tiễn về bảo hiểm xã hội. Xây dựng cơ sở dữ liệu về bảo hiểm xã hội, bộ tiêu chí đánh giá kết quả thực hiện nhiệm vụ và chất lượng cung ứng dịch vụ của cơ quan bảo hiểm xã hội.</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color w:val="000000"/>
          <w:sz w:val="20"/>
          <w:szCs w:val="20"/>
        </w:rPr>
        <w:t>4. Nâng cao năng lực quản trị và hiệu quả tổ chức thực hiện chính sách bảo hiểm xã hội, bảo hiểm thất nghiệp</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Hoàn thiện bộ máy tổ chức thực hiện chính sách bảo hiểm xã hội, bảo hiểm thất nghiệp theo đúng tinh thần của Nghị quyết số 18-NQ/TW, ngày 25/10/2017 Hội nghị lần thứ sáu Ban Chấp hành Trung ương khoá XII Một số vấn đề về tiếp tục đổi mới, sắp xếp tổ chức bộ máy của hệ thống chính trị tinh gọn, hoạt động hiệu lực, hiệu quả. Kiện toàn và nâng cao năng lực hoạt động của Hội đồng quản lý bảo hiểm xã hội. Thực hiện chế độ tài chính, kế toán, kiểm toán và thông tin báo cáo về bảo hiểm xã hội theo quy định của pháp luật.</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Đẩy mạnh cải cách thủ tục hành chính, thực hiện dịch vụ công trực tuyến mức độ 4 trên tất cả các lĩnh vực bảo hiểm xã hội, bảo hiểm thất nghiệp; hoàn thiện, đẩy mạnh kết nối cơ sở dữ liệu quốc gia về bảo hiểm với các hệ thống cơ sở dữ liệu có liên quan nhằm phục vụ tốt công tác thực hiện chính sách và công tác nghiên cứu, hoạch định chính sách. Tiếp tục hiện đại hóa quản lý bảo hiểm xã hội, đầu tư phát triển công nghệ và phương pháp quản lý tiên tiến trong tổ chức thực hiện bảo hiểm xã hội, bảo hiểm thất nghiệp. Kịp thời ngăn chặn tình trạng gian lận, trục lợi chính sách bảo hiểm xã hội, bảo hiểm thất nghiệp.</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Triển khai có hiệu quả các chính sách bảo hiểm thất nghiệp, phát huy đầy đủ các chức năng của bảo hiểm thất nghiệp, bảo đảm bảo hiểm thất nghiệp thực sự là công cụ quản trị thị trường lao động. Chi phí tổ chức thực hiện chính sách bảo hiểm thất nghiệp lấy từ nguồn Quỹ bảo hiểm thất nghiệp, không lấy từ ngân sách nhà nước. Có cơ chế tuyển dụng, đào tạo, bồi dưỡng nguồn nhân lực đáp ứng yêu cầu, nhiệm vụ, nhất là trong bối cảnh thị trường lao động biến động nhanh chóng và cuộc Cách mạng công nghiệp lần thứ 4 đã và đang làm biến đổi cấu trúc của thị trường lao động.</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color w:val="000000"/>
          <w:sz w:val="20"/>
          <w:szCs w:val="20"/>
        </w:rPr>
        <w:t>5. Tăng cường vai trò lãnh đạo của Đảng, phát huy vai trò của nhân dân, Mặt trận Tổ quốc Việt Nam và các tổ chức chính trị - xã hội</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lastRenderedPageBreak/>
        <w:t>Tăng cường sự lãnh đạo của Đảng trong hoạch định chính sách và tổ chức thực hiện chính sách bảo hiểm xã hội theo đúng định hướng xã hội chủ nghĩa, đặc biệt trong phát triển đối tượng tham gia bảo hiểm xã hội và tuân thủ các quy định của pháp luật về bảo hiểm xã hội.</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color w:val="000000"/>
          <w:sz w:val="20"/>
          <w:szCs w:val="20"/>
        </w:rPr>
        <w:t>Phát huy vai trò của Mặt trận Tổ quốc Việt Nam, các tổ chức chính trị - xã hội và nhân dân trong giám sát, phản biện xã hội, tổ chức tuyên truyền, vận động nhân dân thực hiện tốt chính sách, pháp luật về bảo hiểm xã hội.</w:t>
      </w:r>
    </w:p>
    <w:p w:rsidR="005F6E92" w:rsidRPr="005F6E92" w:rsidRDefault="005F6E92" w:rsidP="005F6E92">
      <w:pPr>
        <w:pStyle w:val="NormalWeb"/>
        <w:shd w:val="clear" w:color="auto" w:fill="FFFFFF"/>
        <w:spacing w:before="0" w:beforeAutospacing="0" w:after="0" w:afterAutospacing="0" w:line="234" w:lineRule="atLeast"/>
        <w:jc w:val="both"/>
        <w:rPr>
          <w:rFonts w:ascii="Arial" w:hAnsi="Arial" w:cs="Arial"/>
          <w:color w:val="000000"/>
          <w:sz w:val="20"/>
          <w:szCs w:val="20"/>
        </w:rPr>
      </w:pPr>
      <w:bookmarkStart w:id="8" w:name="muc_5"/>
      <w:r w:rsidRPr="005F6E92">
        <w:rPr>
          <w:rFonts w:ascii="Arial" w:hAnsi="Arial" w:cs="Arial"/>
          <w:b/>
          <w:bCs/>
          <w:color w:val="000000"/>
          <w:sz w:val="20"/>
          <w:szCs w:val="20"/>
        </w:rPr>
        <w:t>V- TỔ CHỨC THỰC HIỆN</w:t>
      </w:r>
      <w:bookmarkEnd w:id="8"/>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color w:val="000000"/>
          <w:sz w:val="20"/>
          <w:szCs w:val="20"/>
        </w:rPr>
        <w:t>1.</w:t>
      </w:r>
      <w:r w:rsidRPr="005F6E92">
        <w:rPr>
          <w:rFonts w:ascii="Arial" w:hAnsi="Arial" w:cs="Arial"/>
          <w:color w:val="000000"/>
          <w:sz w:val="20"/>
          <w:szCs w:val="20"/>
        </w:rPr>
        <w:t> Các tỉnh uỷ, thành uỷ, các ban đảng, ban cán sự đảng, đảng đoàn, đảng uỷ trực thuộc Trung ương xây dựng chương trình, kế hoạch hành động với lộ trình và phân công cụ thể trách nhiệm cho các cơ quan, tổ chức, đơn vị thực hiện phù hợp với điều kiện cụ thể của từng ngành, lĩnh vực, địa phương, đơn vị.</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color w:val="000000"/>
          <w:sz w:val="20"/>
          <w:szCs w:val="20"/>
        </w:rPr>
        <w:t>2.</w:t>
      </w:r>
      <w:r w:rsidRPr="005F6E92">
        <w:rPr>
          <w:rFonts w:ascii="Arial" w:hAnsi="Arial" w:cs="Arial"/>
          <w:color w:val="000000"/>
          <w:sz w:val="20"/>
          <w:szCs w:val="20"/>
        </w:rPr>
        <w:t> Đảng đoàn Quốc hội lãnh đạo việc xây dựng luật, pháp lệnh phục vụ triển khai thực hiện Nghị quyết; tăng cường giám sát việc cải cách chính sách bảo hiểm xã hội, nâng cao chất lượng và hiệu quả hoạt động hướng tới mục tiêu tiến bộ, công bằng, bền vững, đóng góp tích cực vào phát triển kinh tế - xã hội và hội nhập quốc tế.</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color w:val="000000"/>
          <w:sz w:val="20"/>
          <w:szCs w:val="20"/>
        </w:rPr>
        <w:t>3.</w:t>
      </w:r>
      <w:r w:rsidRPr="005F6E92">
        <w:rPr>
          <w:rFonts w:ascii="Arial" w:hAnsi="Arial" w:cs="Arial"/>
          <w:color w:val="000000"/>
          <w:sz w:val="20"/>
          <w:szCs w:val="20"/>
        </w:rPr>
        <w:t> Ban Tuyên giáo Trung ương chủ trì, phối hợp với Ban cán sự đảng Chính phủ và Ban Kinh tế Trung ương tổ chức việc học tập, quán triệt và tuyên truyền sâu rộng Nghị quyết, kết quả thực hiện Nghị quyết.</w:t>
      </w:r>
    </w:p>
    <w:p w:rsidR="005F6E92" w:rsidRPr="005F6E92" w:rsidRDefault="005F6E92" w:rsidP="005F6E92">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5F6E92">
        <w:rPr>
          <w:rFonts w:ascii="Arial" w:hAnsi="Arial" w:cs="Arial"/>
          <w:b/>
          <w:bCs/>
          <w:color w:val="000000"/>
          <w:sz w:val="20"/>
          <w:szCs w:val="20"/>
        </w:rPr>
        <w:t>4.</w:t>
      </w:r>
      <w:r w:rsidRPr="005F6E92">
        <w:rPr>
          <w:rFonts w:ascii="Arial" w:hAnsi="Arial" w:cs="Arial"/>
          <w:color w:val="000000"/>
          <w:sz w:val="20"/>
          <w:szCs w:val="20"/>
        </w:rPr>
        <w:t> Ban Kinh tế Trung ương chủ trì, phối hợp với các cơ quan liên quan thường xuyên theo dõi, kiểm tra, đôn đốc việc triển khai tổ chức thực hiện Nghị quyết và định kỳ sơ kết, tổng kết, báo cáo Bộ Chính trị, Ban Bí thư./.</w:t>
      </w:r>
    </w:p>
    <w:p w:rsidR="005F6E92" w:rsidRDefault="005F6E92" w:rsidP="005F6E92">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4814"/>
      </w:tblGrid>
      <w:tr w:rsidR="005F6E92" w:rsidTr="005F6E92">
        <w:trPr>
          <w:tblCellSpacing w:w="0" w:type="dxa"/>
        </w:trPr>
        <w:tc>
          <w:tcPr>
            <w:tcW w:w="3708" w:type="dxa"/>
            <w:shd w:val="clear" w:color="auto" w:fill="FFFFFF"/>
            <w:tcMar>
              <w:top w:w="0" w:type="dxa"/>
              <w:left w:w="108" w:type="dxa"/>
              <w:bottom w:w="0" w:type="dxa"/>
              <w:right w:w="108" w:type="dxa"/>
            </w:tcMar>
            <w:hideMark/>
          </w:tcPr>
          <w:p w:rsidR="005F6E92" w:rsidRDefault="005F6E92">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814" w:type="dxa"/>
            <w:shd w:val="clear" w:color="auto" w:fill="FFFFFF"/>
            <w:tcMar>
              <w:top w:w="0" w:type="dxa"/>
              <w:left w:w="108" w:type="dxa"/>
              <w:bottom w:w="0" w:type="dxa"/>
              <w:right w:w="108" w:type="dxa"/>
            </w:tcMar>
            <w:hideMark/>
          </w:tcPr>
          <w:p w:rsidR="005F6E92" w:rsidRDefault="005F6E92">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T/M BAN CHẤP HÀNH TRUNG ƯƠNG</w:t>
            </w:r>
            <w:r>
              <w:rPr>
                <w:rFonts w:ascii="Arial" w:hAnsi="Arial" w:cs="Arial"/>
                <w:b/>
                <w:bCs/>
                <w:color w:val="000000"/>
                <w:sz w:val="18"/>
                <w:szCs w:val="18"/>
              </w:rPr>
              <w:br/>
              <w:t>TỔNG BÍ THƯ</w:t>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t>Nguyễn Phú Trọng</w:t>
            </w:r>
          </w:p>
        </w:tc>
      </w:tr>
    </w:tbl>
    <w:p w:rsidR="005F6E92" w:rsidRDefault="005F6E92" w:rsidP="005F6E92">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0A22E5" w:rsidRDefault="000A22E5"/>
    <w:sectPr w:rsidR="000A22E5" w:rsidSect="005F6E92">
      <w:pgSz w:w="12240" w:h="15840"/>
      <w:pgMar w:top="568" w:right="1183"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E92"/>
    <w:rsid w:val="000A22E5"/>
    <w:rsid w:val="00191932"/>
    <w:rsid w:val="003B1014"/>
    <w:rsid w:val="00411E8F"/>
    <w:rsid w:val="005F6E92"/>
    <w:rsid w:val="0068046B"/>
    <w:rsid w:val="006A46E4"/>
    <w:rsid w:val="009A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6E4"/>
    <w:rPr>
      <w:sz w:val="24"/>
      <w:szCs w:val="24"/>
    </w:rPr>
  </w:style>
  <w:style w:type="paragraph" w:styleId="Heading9">
    <w:name w:val="heading 9"/>
    <w:basedOn w:val="Normal"/>
    <w:next w:val="Normal"/>
    <w:link w:val="Heading9Char"/>
    <w:qFormat/>
    <w:rsid w:val="006A46E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A46E4"/>
    <w:rPr>
      <w:rFonts w:ascii="Arial" w:hAnsi="Arial" w:cs="Arial"/>
      <w:sz w:val="22"/>
      <w:szCs w:val="22"/>
    </w:rPr>
  </w:style>
  <w:style w:type="paragraph" w:styleId="NormalWeb">
    <w:name w:val="Normal (Web)"/>
    <w:basedOn w:val="Normal"/>
    <w:uiPriority w:val="99"/>
    <w:unhideWhenUsed/>
    <w:rsid w:val="005F6E92"/>
    <w:pPr>
      <w:spacing w:before="100" w:beforeAutospacing="1" w:after="100" w:afterAutospacing="1"/>
    </w:pPr>
  </w:style>
  <w:style w:type="paragraph" w:customStyle="1" w:styleId="vn3">
    <w:name w:val="vn_3"/>
    <w:basedOn w:val="Normal"/>
    <w:rsid w:val="005F6E92"/>
    <w:pPr>
      <w:spacing w:before="100" w:beforeAutospacing="1" w:after="100" w:afterAutospacing="1"/>
    </w:pPr>
  </w:style>
  <w:style w:type="character" w:customStyle="1" w:styleId="vn4">
    <w:name w:val="vn_4"/>
    <w:basedOn w:val="DefaultParagraphFont"/>
    <w:rsid w:val="005F6E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6E4"/>
    <w:rPr>
      <w:sz w:val="24"/>
      <w:szCs w:val="24"/>
    </w:rPr>
  </w:style>
  <w:style w:type="paragraph" w:styleId="Heading9">
    <w:name w:val="heading 9"/>
    <w:basedOn w:val="Normal"/>
    <w:next w:val="Normal"/>
    <w:link w:val="Heading9Char"/>
    <w:qFormat/>
    <w:rsid w:val="006A46E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A46E4"/>
    <w:rPr>
      <w:rFonts w:ascii="Arial" w:hAnsi="Arial" w:cs="Arial"/>
      <w:sz w:val="22"/>
      <w:szCs w:val="22"/>
    </w:rPr>
  </w:style>
  <w:style w:type="paragraph" w:styleId="NormalWeb">
    <w:name w:val="Normal (Web)"/>
    <w:basedOn w:val="Normal"/>
    <w:uiPriority w:val="99"/>
    <w:unhideWhenUsed/>
    <w:rsid w:val="005F6E92"/>
    <w:pPr>
      <w:spacing w:before="100" w:beforeAutospacing="1" w:after="100" w:afterAutospacing="1"/>
    </w:pPr>
  </w:style>
  <w:style w:type="paragraph" w:customStyle="1" w:styleId="vn3">
    <w:name w:val="vn_3"/>
    <w:basedOn w:val="Normal"/>
    <w:rsid w:val="005F6E92"/>
    <w:pPr>
      <w:spacing w:before="100" w:beforeAutospacing="1" w:after="100" w:afterAutospacing="1"/>
    </w:pPr>
  </w:style>
  <w:style w:type="character" w:customStyle="1" w:styleId="vn4">
    <w:name w:val="vn_4"/>
    <w:basedOn w:val="DefaultParagraphFont"/>
    <w:rsid w:val="005F6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0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3609</Words>
  <Characters>20573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PC</cp:lastModifiedBy>
  <cp:revision>2</cp:revision>
  <dcterms:created xsi:type="dcterms:W3CDTF">2019-03-13T06:48:00Z</dcterms:created>
  <dcterms:modified xsi:type="dcterms:W3CDTF">2019-03-13T06:48:00Z</dcterms:modified>
</cp:coreProperties>
</file>